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5811" w14:textId="5BD43DD7" w:rsidR="00142B3C" w:rsidRPr="005D6743" w:rsidRDefault="00142B3C" w:rsidP="00142B3C">
      <w:pPr>
        <w:shd w:val="clear" w:color="auto" w:fill="FFFFFF"/>
        <w:spacing w:after="150" w:line="240" w:lineRule="auto"/>
        <w:rPr>
          <w:rFonts w:ascii="Helvetica" w:eastAsia="Times New Roman" w:hAnsi="Helvetica" w:cs="Times New Roman"/>
          <w:b/>
          <w:bCs/>
          <w:color w:val="333333"/>
          <w:sz w:val="32"/>
          <w:szCs w:val="32"/>
          <w:lang w:eastAsia="en-IE"/>
        </w:rPr>
      </w:pPr>
      <w:r w:rsidRPr="005D6743">
        <w:rPr>
          <w:rFonts w:ascii="Helvetica" w:eastAsia="Times New Roman" w:hAnsi="Helvetica" w:cs="Times New Roman"/>
          <w:b/>
          <w:bCs/>
          <w:color w:val="333333"/>
          <w:sz w:val="32"/>
          <w:szCs w:val="32"/>
          <w:lang w:eastAsia="en-IE"/>
        </w:rPr>
        <w:t>Commercial</w:t>
      </w:r>
      <w:r w:rsidR="00654302">
        <w:rPr>
          <w:rFonts w:ascii="Helvetica" w:eastAsia="Times New Roman" w:hAnsi="Helvetica" w:cs="Times New Roman"/>
          <w:b/>
          <w:bCs/>
          <w:color w:val="333333"/>
          <w:sz w:val="32"/>
          <w:szCs w:val="32"/>
          <w:lang w:eastAsia="en-IE"/>
        </w:rPr>
        <w:t xml:space="preserve"> Rates</w:t>
      </w:r>
      <w:r w:rsidRPr="005D6743">
        <w:rPr>
          <w:rFonts w:ascii="Helvetica" w:eastAsia="Times New Roman" w:hAnsi="Helvetica" w:cs="Times New Roman"/>
          <w:b/>
          <w:bCs/>
          <w:color w:val="333333"/>
          <w:sz w:val="32"/>
          <w:szCs w:val="32"/>
          <w:lang w:eastAsia="en-IE"/>
        </w:rPr>
        <w:t xml:space="preserve"> Incentive</w:t>
      </w:r>
      <w:r w:rsidR="00CE0A0B" w:rsidRPr="005D6743">
        <w:rPr>
          <w:rFonts w:ascii="Helvetica" w:eastAsia="Times New Roman" w:hAnsi="Helvetica" w:cs="Times New Roman"/>
          <w:b/>
          <w:bCs/>
          <w:color w:val="333333"/>
          <w:sz w:val="32"/>
          <w:szCs w:val="32"/>
          <w:lang w:eastAsia="en-IE"/>
        </w:rPr>
        <w:t xml:space="preserve"> Grant</w:t>
      </w:r>
      <w:r w:rsidRPr="005D6743">
        <w:rPr>
          <w:rFonts w:ascii="Helvetica" w:eastAsia="Times New Roman" w:hAnsi="Helvetica" w:cs="Times New Roman"/>
          <w:b/>
          <w:bCs/>
          <w:color w:val="333333"/>
          <w:sz w:val="32"/>
          <w:szCs w:val="32"/>
          <w:lang w:eastAsia="en-IE"/>
        </w:rPr>
        <w:t xml:space="preserve"> Scheme 202</w:t>
      </w:r>
      <w:r w:rsidR="004645B8">
        <w:rPr>
          <w:rFonts w:ascii="Helvetica" w:eastAsia="Times New Roman" w:hAnsi="Helvetica" w:cs="Times New Roman"/>
          <w:b/>
          <w:bCs/>
          <w:color w:val="333333"/>
          <w:sz w:val="32"/>
          <w:szCs w:val="32"/>
          <w:lang w:eastAsia="en-IE"/>
        </w:rPr>
        <w:t>3</w:t>
      </w:r>
    </w:p>
    <w:p w14:paraId="54EF2DDB" w14:textId="77777777" w:rsidR="004645B8" w:rsidRDefault="004645B8" w:rsidP="00142B3C"/>
    <w:p w14:paraId="7F319AA7" w14:textId="7E88DC6E" w:rsidR="004645B8" w:rsidRPr="00D9693F" w:rsidRDefault="00142B3C" w:rsidP="00142B3C">
      <w:pPr>
        <w:rPr>
          <w:rFonts w:cstheme="minorHAnsi"/>
        </w:rPr>
      </w:pPr>
      <w:r w:rsidRPr="00D9693F">
        <w:rPr>
          <w:rFonts w:cstheme="minorHAnsi"/>
        </w:rPr>
        <w:t>Kildare County Council</w:t>
      </w:r>
      <w:r w:rsidR="0003460D" w:rsidRPr="00D9693F">
        <w:rPr>
          <w:rFonts w:cstheme="minorHAnsi"/>
        </w:rPr>
        <w:t xml:space="preserve"> has extended the Commercial </w:t>
      </w:r>
      <w:r w:rsidR="00654302">
        <w:rPr>
          <w:rFonts w:cstheme="minorHAnsi"/>
        </w:rPr>
        <w:t xml:space="preserve">Rates </w:t>
      </w:r>
      <w:r w:rsidR="0003460D" w:rsidRPr="00D9693F">
        <w:rPr>
          <w:rFonts w:cstheme="minorHAnsi"/>
        </w:rPr>
        <w:t>Incentive Grant Scheme into 202</w:t>
      </w:r>
      <w:r w:rsidR="004645B8" w:rsidRPr="00D9693F">
        <w:rPr>
          <w:rFonts w:cstheme="minorHAnsi"/>
        </w:rPr>
        <w:t>3</w:t>
      </w:r>
      <w:r w:rsidRPr="00D9693F">
        <w:rPr>
          <w:rFonts w:cstheme="minorHAnsi"/>
        </w:rPr>
        <w:t xml:space="preserve"> to encourage the use of vacant commercial premises in town and village centres in the County.  </w:t>
      </w:r>
    </w:p>
    <w:p w14:paraId="5B810C00" w14:textId="740E46CC" w:rsidR="004645B8" w:rsidRPr="00D9693F" w:rsidRDefault="004645B8" w:rsidP="004645B8">
      <w:pPr>
        <w:rPr>
          <w:rFonts w:eastAsia="Calibri" w:cstheme="minorHAnsi"/>
        </w:rPr>
      </w:pPr>
      <w:r w:rsidRPr="00D9693F">
        <w:rPr>
          <w:rFonts w:eastAsia="Calibri" w:cstheme="minorHAnsi"/>
        </w:rPr>
        <w:t xml:space="preserve">An attractive, vibrant commercial area contributes positively to a location’s retail and economic growth, by boosting footfall and encouraging a longer stay by shoppers and visitors.  This scheme, which will complement the highly successful Shop Fronts Grants Scheme already available through Kildare, aims to promote business creation, enhance the prosperity of our commercial </w:t>
      </w:r>
      <w:proofErr w:type="gramStart"/>
      <w:r w:rsidRPr="00D9693F">
        <w:rPr>
          <w:rFonts w:eastAsia="Calibri" w:cstheme="minorHAnsi"/>
        </w:rPr>
        <w:t>spaces</w:t>
      </w:r>
      <w:proofErr w:type="gramEnd"/>
      <w:r w:rsidRPr="00D9693F">
        <w:rPr>
          <w:rFonts w:eastAsia="Calibri" w:cstheme="minorHAnsi"/>
        </w:rPr>
        <w:t xml:space="preserve"> and improve the </w:t>
      </w:r>
      <w:r w:rsidRPr="00D9693F">
        <w:rPr>
          <w:rFonts w:eastAsia="Times New Roman" w:cstheme="minorHAnsi"/>
          <w:lang w:eastAsia="en-IE"/>
        </w:rPr>
        <w:t xml:space="preserve">economic welfare of Kildare’s towns and villages. </w:t>
      </w:r>
    </w:p>
    <w:p w14:paraId="5D899177" w14:textId="2338F7A0" w:rsidR="004645B8" w:rsidRPr="00D9693F" w:rsidRDefault="004645B8" w:rsidP="00142B3C">
      <w:pPr>
        <w:rPr>
          <w:rFonts w:cstheme="minorHAnsi"/>
          <w:lang w:val="en-GB"/>
        </w:rPr>
      </w:pPr>
      <w:r w:rsidRPr="00D9693F">
        <w:rPr>
          <w:rFonts w:cstheme="minorHAnsi"/>
          <w:lang w:val="en-GB"/>
        </w:rPr>
        <w:t xml:space="preserve">The scheme, which is intended to </w:t>
      </w:r>
      <w:r w:rsidRPr="00D9693F">
        <w:rPr>
          <w:rFonts w:eastAsia="Times New Roman" w:cstheme="minorHAnsi"/>
          <w:lang w:eastAsia="en-IE"/>
        </w:rPr>
        <w:t xml:space="preserve">encourage reoccupation of vacant commercial premises in Kildare, </w:t>
      </w:r>
      <w:r w:rsidRPr="00D9693F">
        <w:rPr>
          <w:rFonts w:cstheme="minorHAnsi"/>
          <w:lang w:val="en-GB"/>
        </w:rPr>
        <w:t xml:space="preserve">offers a three-year grant to eligible entrepreneurs/businesses who occupy a property that has been vacant for a period of at least two years.  </w:t>
      </w:r>
      <w:r w:rsidRPr="00D9693F">
        <w:rPr>
          <w:rFonts w:eastAsia="Times New Roman" w:cstheme="minorHAnsi"/>
          <w:lang w:eastAsia="en-IE"/>
        </w:rPr>
        <w:t xml:space="preserve"> </w:t>
      </w:r>
    </w:p>
    <w:p w14:paraId="10398A7D" w14:textId="77777777" w:rsidR="00020B42" w:rsidRPr="004645B8" w:rsidRDefault="00020B42" w:rsidP="00142B3C">
      <w:pPr>
        <w:rPr>
          <w:rFonts w:cstheme="minorHAnsi"/>
        </w:rPr>
      </w:pPr>
    </w:p>
    <w:p w14:paraId="0D5AEDB3" w14:textId="4C864480" w:rsidR="00142B3C" w:rsidRPr="004645B8" w:rsidRDefault="00F4140A" w:rsidP="00142B3C">
      <w:pPr>
        <w:rPr>
          <w:rFonts w:cstheme="minorHAnsi"/>
          <w:b/>
          <w:bCs/>
        </w:rPr>
      </w:pPr>
      <w:r w:rsidRPr="004645B8">
        <w:rPr>
          <w:rFonts w:cstheme="minorHAnsi"/>
          <w:b/>
          <w:bCs/>
        </w:rPr>
        <w:t>Eligible Properties</w:t>
      </w:r>
    </w:p>
    <w:p w14:paraId="6D3FA7FE" w14:textId="33DEA2FB" w:rsidR="00873609" w:rsidRPr="004645B8" w:rsidRDefault="00873609" w:rsidP="00F4140A">
      <w:pPr>
        <w:pStyle w:val="ListParagraph"/>
        <w:numPr>
          <w:ilvl w:val="0"/>
          <w:numId w:val="2"/>
        </w:numPr>
        <w:rPr>
          <w:rFonts w:cstheme="minorHAnsi"/>
        </w:rPr>
      </w:pPr>
      <w:r w:rsidRPr="004645B8">
        <w:rPr>
          <w:rFonts w:cstheme="minorHAnsi"/>
        </w:rPr>
        <w:t xml:space="preserve">The Scheme </w:t>
      </w:r>
      <w:r w:rsidR="00CE0A0B" w:rsidRPr="004645B8">
        <w:rPr>
          <w:rFonts w:cstheme="minorHAnsi"/>
        </w:rPr>
        <w:t>runs from</w:t>
      </w:r>
      <w:r w:rsidRPr="004645B8">
        <w:rPr>
          <w:rFonts w:cstheme="minorHAnsi"/>
        </w:rPr>
        <w:t xml:space="preserve"> the 1st of January 202</w:t>
      </w:r>
      <w:r w:rsidR="004645B8" w:rsidRPr="004645B8">
        <w:rPr>
          <w:rFonts w:cstheme="minorHAnsi"/>
        </w:rPr>
        <w:t>3</w:t>
      </w:r>
      <w:r w:rsidRPr="004645B8">
        <w:rPr>
          <w:rFonts w:cstheme="minorHAnsi"/>
        </w:rPr>
        <w:t xml:space="preserve"> </w:t>
      </w:r>
      <w:r w:rsidR="00CE0A0B" w:rsidRPr="004645B8">
        <w:rPr>
          <w:rFonts w:cstheme="minorHAnsi"/>
        </w:rPr>
        <w:t>to 31</w:t>
      </w:r>
      <w:r w:rsidR="00CE0A0B" w:rsidRPr="004645B8">
        <w:rPr>
          <w:rFonts w:cstheme="minorHAnsi"/>
          <w:vertAlign w:val="superscript"/>
        </w:rPr>
        <w:t>st</w:t>
      </w:r>
      <w:r w:rsidR="00CE0A0B" w:rsidRPr="004645B8">
        <w:rPr>
          <w:rFonts w:cstheme="minorHAnsi"/>
        </w:rPr>
        <w:t xml:space="preserve"> December 202</w:t>
      </w:r>
      <w:r w:rsidR="004645B8" w:rsidRPr="004645B8">
        <w:rPr>
          <w:rFonts w:cstheme="minorHAnsi"/>
        </w:rPr>
        <w:t>3</w:t>
      </w:r>
      <w:r w:rsidR="00CE0A0B" w:rsidRPr="004645B8">
        <w:rPr>
          <w:rFonts w:cstheme="minorHAnsi"/>
        </w:rPr>
        <w:t xml:space="preserve"> </w:t>
      </w:r>
      <w:r w:rsidRPr="004645B8">
        <w:rPr>
          <w:rFonts w:cstheme="minorHAnsi"/>
        </w:rPr>
        <w:t xml:space="preserve">and is applicable to commercial properties in </w:t>
      </w:r>
      <w:r w:rsidR="00FC5CB6" w:rsidRPr="004645B8">
        <w:rPr>
          <w:rFonts w:cstheme="minorHAnsi"/>
        </w:rPr>
        <w:t>t</w:t>
      </w:r>
      <w:r w:rsidRPr="004645B8">
        <w:rPr>
          <w:rFonts w:cstheme="minorHAnsi"/>
        </w:rPr>
        <w:t xml:space="preserve">own or </w:t>
      </w:r>
      <w:r w:rsidR="00FC5CB6" w:rsidRPr="004645B8">
        <w:rPr>
          <w:rFonts w:cstheme="minorHAnsi"/>
        </w:rPr>
        <w:t>v</w:t>
      </w:r>
      <w:r w:rsidRPr="004645B8">
        <w:rPr>
          <w:rFonts w:cstheme="minorHAnsi"/>
        </w:rPr>
        <w:t xml:space="preserve">illage </w:t>
      </w:r>
      <w:r w:rsidR="00FC5CB6" w:rsidRPr="004645B8">
        <w:rPr>
          <w:rFonts w:cstheme="minorHAnsi"/>
        </w:rPr>
        <w:t>c</w:t>
      </w:r>
      <w:r w:rsidRPr="004645B8">
        <w:rPr>
          <w:rFonts w:cstheme="minorHAnsi"/>
        </w:rPr>
        <w:t>entres that have been previously occupied and vacant for at least 2 years</w:t>
      </w:r>
      <w:r w:rsidR="00F4140A" w:rsidRPr="004645B8">
        <w:rPr>
          <w:rFonts w:cstheme="minorHAnsi"/>
        </w:rPr>
        <w:t xml:space="preserve">, </w:t>
      </w:r>
      <w:r w:rsidRPr="004645B8">
        <w:rPr>
          <w:rFonts w:cstheme="minorHAnsi"/>
        </w:rPr>
        <w:t>or properties not previously occupied and vacant for 5 years</w:t>
      </w:r>
      <w:r w:rsidR="0003460D" w:rsidRPr="004645B8">
        <w:rPr>
          <w:rFonts w:cstheme="minorHAnsi"/>
        </w:rPr>
        <w:t>.</w:t>
      </w:r>
    </w:p>
    <w:p w14:paraId="2289CBBF" w14:textId="0782CE8E" w:rsidR="00F4140A" w:rsidRPr="004645B8" w:rsidRDefault="00F4140A" w:rsidP="00F4140A">
      <w:pPr>
        <w:pStyle w:val="ListParagraph"/>
        <w:numPr>
          <w:ilvl w:val="0"/>
          <w:numId w:val="2"/>
        </w:numPr>
        <w:rPr>
          <w:rFonts w:cstheme="minorHAnsi"/>
        </w:rPr>
      </w:pPr>
      <w:r w:rsidRPr="004645B8">
        <w:rPr>
          <w:rFonts w:cstheme="minorHAnsi"/>
        </w:rPr>
        <w:t xml:space="preserve">All local authority charges related to the property, including Commercial Rates, must be paid in full each year </w:t>
      </w:r>
      <w:proofErr w:type="gramStart"/>
      <w:r w:rsidRPr="004645B8">
        <w:rPr>
          <w:rFonts w:cstheme="minorHAnsi"/>
        </w:rPr>
        <w:t>in order to</w:t>
      </w:r>
      <w:proofErr w:type="gramEnd"/>
      <w:r w:rsidRPr="004645B8">
        <w:rPr>
          <w:rFonts w:cstheme="minorHAnsi"/>
        </w:rPr>
        <w:t xml:space="preserve"> qualify for the grant</w:t>
      </w:r>
      <w:r w:rsidR="0003460D" w:rsidRPr="004645B8">
        <w:rPr>
          <w:rFonts w:cstheme="minorHAnsi"/>
        </w:rPr>
        <w:t>.</w:t>
      </w:r>
    </w:p>
    <w:p w14:paraId="1BC3AE8F" w14:textId="4AD368A4" w:rsidR="00F4140A" w:rsidRPr="004645B8" w:rsidRDefault="00F4140A" w:rsidP="00F4140A">
      <w:pPr>
        <w:rPr>
          <w:rFonts w:cstheme="minorHAnsi"/>
          <w:b/>
          <w:bCs/>
        </w:rPr>
      </w:pPr>
      <w:r w:rsidRPr="004645B8">
        <w:rPr>
          <w:rFonts w:cstheme="minorHAnsi"/>
          <w:b/>
          <w:bCs/>
        </w:rPr>
        <w:t>Eligible Applicants</w:t>
      </w:r>
    </w:p>
    <w:p w14:paraId="7271527D" w14:textId="336FACDB" w:rsidR="00F4140A" w:rsidRDefault="00F4140A" w:rsidP="00F4140A">
      <w:pPr>
        <w:pStyle w:val="ListParagraph"/>
        <w:numPr>
          <w:ilvl w:val="0"/>
          <w:numId w:val="2"/>
        </w:numPr>
      </w:pPr>
      <w:r>
        <w:t>The grant applicant must be the rateable occupier of the property</w:t>
      </w:r>
    </w:p>
    <w:p w14:paraId="0D6CC62A" w14:textId="79B88D8D" w:rsidR="0003460D" w:rsidRDefault="0003460D" w:rsidP="0003460D">
      <w:pPr>
        <w:pStyle w:val="ListParagraph"/>
        <w:numPr>
          <w:ilvl w:val="0"/>
          <w:numId w:val="2"/>
        </w:numPr>
      </w:pPr>
      <w:r>
        <w:t xml:space="preserve">The grant is applicable where there is a net increase in occupation in the County, </w:t>
      </w:r>
      <w:proofErr w:type="spellStart"/>
      <w:r>
        <w:t>i.e</w:t>
      </w:r>
      <w:proofErr w:type="spellEnd"/>
      <w:r>
        <w:t xml:space="preserve"> new businesses or those expanding into a new location.</w:t>
      </w:r>
    </w:p>
    <w:p w14:paraId="76655C2B" w14:textId="318F24E8" w:rsidR="0003460D" w:rsidRDefault="0003460D" w:rsidP="0003460D">
      <w:pPr>
        <w:pStyle w:val="ListParagraph"/>
        <w:numPr>
          <w:ilvl w:val="0"/>
          <w:numId w:val="2"/>
        </w:numPr>
      </w:pPr>
      <w:r>
        <w:t xml:space="preserve">Relocation from one property to another does not qualify </w:t>
      </w:r>
      <w:r w:rsidRPr="0003460D">
        <w:t xml:space="preserve">in full.  Where there is a relocation, only the differential increase </w:t>
      </w:r>
      <w:r>
        <w:t xml:space="preserve">in Rates </w:t>
      </w:r>
      <w:r w:rsidRPr="0003460D">
        <w:t>will be eligible for the grant</w:t>
      </w:r>
    </w:p>
    <w:p w14:paraId="17CD5320" w14:textId="19B9C9E0" w:rsidR="0003460D" w:rsidRDefault="0003460D" w:rsidP="0003460D">
      <w:pPr>
        <w:pStyle w:val="ListParagraph"/>
        <w:numPr>
          <w:ilvl w:val="0"/>
          <w:numId w:val="2"/>
        </w:numPr>
      </w:pPr>
      <w:r w:rsidRPr="0003460D">
        <w:t>Where a</w:t>
      </w:r>
      <w:r w:rsidR="00461A3A">
        <w:t>n existing</w:t>
      </w:r>
      <w:r w:rsidRPr="0003460D">
        <w:t xml:space="preserve"> property is extended into a</w:t>
      </w:r>
      <w:r w:rsidR="00461A3A">
        <w:t>n eligible</w:t>
      </w:r>
      <w:r w:rsidRPr="0003460D">
        <w:t xml:space="preserve"> vacant unit, the grant will apply to the additional area occupied</w:t>
      </w:r>
    </w:p>
    <w:p w14:paraId="4C603462" w14:textId="2B5A83A9" w:rsidR="00F4140A" w:rsidRDefault="00F4140A" w:rsidP="00F4140A">
      <w:pPr>
        <w:pStyle w:val="ListParagraph"/>
        <w:numPr>
          <w:ilvl w:val="0"/>
          <w:numId w:val="2"/>
        </w:numPr>
      </w:pPr>
      <w:r>
        <w:t xml:space="preserve">All local authority charges </w:t>
      </w:r>
      <w:r w:rsidR="00660C0D">
        <w:t>owed by the applicant</w:t>
      </w:r>
      <w:r>
        <w:t>, including Commercial Rates, must be paid in full each year in order to qualify for the grant</w:t>
      </w:r>
    </w:p>
    <w:p w14:paraId="67CC552B" w14:textId="4A79A297" w:rsidR="00660C0D" w:rsidRDefault="00660C0D" w:rsidP="00660C0D">
      <w:pPr>
        <w:pStyle w:val="ListParagraph"/>
        <w:numPr>
          <w:ilvl w:val="0"/>
          <w:numId w:val="2"/>
        </w:numPr>
      </w:pPr>
      <w:r>
        <w:t>Actual occupation of less than 1 year will not qualify for the grant</w:t>
      </w:r>
    </w:p>
    <w:p w14:paraId="24EC3813" w14:textId="375F5D89" w:rsidR="00660C0D" w:rsidRDefault="00660C0D" w:rsidP="00660C0D">
      <w:pPr>
        <w:pStyle w:val="ListParagraph"/>
        <w:numPr>
          <w:ilvl w:val="0"/>
          <w:numId w:val="2"/>
        </w:numPr>
      </w:pPr>
      <w:r>
        <w:t xml:space="preserve">The use of the property should comply with appropriate Planning </w:t>
      </w:r>
      <w:r w:rsidR="00CE0A0B">
        <w:t>guidance</w:t>
      </w:r>
    </w:p>
    <w:p w14:paraId="1530087F" w14:textId="60943313" w:rsidR="00660C0D" w:rsidRDefault="00660C0D" w:rsidP="00660C0D">
      <w:pPr>
        <w:pStyle w:val="ListParagraph"/>
        <w:numPr>
          <w:ilvl w:val="0"/>
          <w:numId w:val="2"/>
        </w:numPr>
      </w:pPr>
      <w:r>
        <w:t>The Applicant must be able to submit a copy of their Tax Clearance Certificate</w:t>
      </w:r>
    </w:p>
    <w:p w14:paraId="4FE6D107" w14:textId="77777777" w:rsidR="00D9693F" w:rsidRDefault="00D9693F" w:rsidP="00660C0D">
      <w:pPr>
        <w:rPr>
          <w:b/>
          <w:bCs/>
        </w:rPr>
      </w:pPr>
    </w:p>
    <w:p w14:paraId="6CAF74D4" w14:textId="1319A071" w:rsidR="00660C0D" w:rsidRPr="00660C0D" w:rsidRDefault="00660C0D" w:rsidP="00660C0D">
      <w:pPr>
        <w:rPr>
          <w:b/>
          <w:bCs/>
        </w:rPr>
      </w:pPr>
      <w:proofErr w:type="gramStart"/>
      <w:r w:rsidRPr="00660C0D">
        <w:rPr>
          <w:b/>
          <w:bCs/>
        </w:rPr>
        <w:t>Non Qualifying</w:t>
      </w:r>
      <w:proofErr w:type="gramEnd"/>
      <w:r w:rsidRPr="00660C0D">
        <w:rPr>
          <w:b/>
          <w:bCs/>
        </w:rPr>
        <w:t xml:space="preserve"> Business Activities</w:t>
      </w:r>
    </w:p>
    <w:p w14:paraId="4EA9EBA2" w14:textId="122E4727" w:rsidR="00660C0D" w:rsidRDefault="00660C0D" w:rsidP="00660C0D">
      <w:r>
        <w:t>The following business activit</w:t>
      </w:r>
      <w:r w:rsidR="00627101">
        <w:t>ies</w:t>
      </w:r>
      <w:r>
        <w:t xml:space="preserve"> will not be considered for the Grant:</w:t>
      </w:r>
    </w:p>
    <w:tbl>
      <w:tblPr>
        <w:tblStyle w:val="TableGrid"/>
        <w:tblW w:w="0" w:type="auto"/>
        <w:tblLook w:val="04A0" w:firstRow="1" w:lastRow="0" w:firstColumn="1" w:lastColumn="0" w:noHBand="0" w:noVBand="1"/>
      </w:tblPr>
      <w:tblGrid>
        <w:gridCol w:w="4508"/>
        <w:gridCol w:w="4508"/>
      </w:tblGrid>
      <w:tr w:rsidR="00660C0D" w14:paraId="3199DB37" w14:textId="77777777" w:rsidTr="00700E46">
        <w:tc>
          <w:tcPr>
            <w:tcW w:w="4508" w:type="dxa"/>
          </w:tcPr>
          <w:p w14:paraId="2221D464" w14:textId="77777777" w:rsidR="00660C0D" w:rsidRDefault="00660C0D" w:rsidP="00700E46">
            <w:r>
              <w:t>Charity Shops</w:t>
            </w:r>
          </w:p>
        </w:tc>
        <w:tc>
          <w:tcPr>
            <w:tcW w:w="4508" w:type="dxa"/>
          </w:tcPr>
          <w:p w14:paraId="03F6E41D" w14:textId="0682C133" w:rsidR="00660C0D" w:rsidRDefault="00660C0D" w:rsidP="00700E46">
            <w:r>
              <w:t>Betting Shops</w:t>
            </w:r>
          </w:p>
        </w:tc>
      </w:tr>
      <w:tr w:rsidR="00660C0D" w14:paraId="7895E6C1" w14:textId="77777777" w:rsidTr="00700E46">
        <w:tc>
          <w:tcPr>
            <w:tcW w:w="4508" w:type="dxa"/>
          </w:tcPr>
          <w:p w14:paraId="767BAD09" w14:textId="77777777" w:rsidR="00660C0D" w:rsidRDefault="00660C0D" w:rsidP="00700E46">
            <w:r>
              <w:t>Amusement arcades / premises with gaming machines</w:t>
            </w:r>
          </w:p>
        </w:tc>
        <w:tc>
          <w:tcPr>
            <w:tcW w:w="4508" w:type="dxa"/>
          </w:tcPr>
          <w:p w14:paraId="01AA2D3B" w14:textId="77777777" w:rsidR="00660C0D" w:rsidRDefault="00660C0D" w:rsidP="00700E46">
            <w:r>
              <w:t>E-Cigarette Shops</w:t>
            </w:r>
          </w:p>
        </w:tc>
      </w:tr>
      <w:tr w:rsidR="00660C0D" w14:paraId="7D41CA1A" w14:textId="77777777" w:rsidTr="00700E46">
        <w:tc>
          <w:tcPr>
            <w:tcW w:w="4508" w:type="dxa"/>
          </w:tcPr>
          <w:p w14:paraId="29C26E68" w14:textId="77777777" w:rsidR="00660C0D" w:rsidRDefault="00660C0D" w:rsidP="00700E46">
            <w:r>
              <w:t>Adult Shops</w:t>
            </w:r>
          </w:p>
        </w:tc>
        <w:tc>
          <w:tcPr>
            <w:tcW w:w="4508" w:type="dxa"/>
          </w:tcPr>
          <w:p w14:paraId="0F424AF1" w14:textId="613A7081" w:rsidR="00660C0D" w:rsidRDefault="00660C0D" w:rsidP="00700E46">
            <w:r>
              <w:t>Cash for Gold / Cash for Clothes Shops</w:t>
            </w:r>
          </w:p>
        </w:tc>
      </w:tr>
      <w:tr w:rsidR="00660C0D" w14:paraId="346F39D8" w14:textId="77777777" w:rsidTr="00700E46">
        <w:tc>
          <w:tcPr>
            <w:tcW w:w="4508" w:type="dxa"/>
          </w:tcPr>
          <w:p w14:paraId="5FF33D61" w14:textId="77777777" w:rsidR="00660C0D" w:rsidRDefault="00660C0D" w:rsidP="00700E46">
            <w:r>
              <w:t>Nightclubs / Private Members Clubs</w:t>
            </w:r>
          </w:p>
        </w:tc>
        <w:tc>
          <w:tcPr>
            <w:tcW w:w="4508" w:type="dxa"/>
          </w:tcPr>
          <w:p w14:paraId="76EE70ED" w14:textId="19FB00CC" w:rsidR="00660C0D" w:rsidRDefault="00660C0D" w:rsidP="00700E46">
            <w:r>
              <w:t>Banks</w:t>
            </w:r>
          </w:p>
        </w:tc>
      </w:tr>
      <w:tr w:rsidR="00660C0D" w14:paraId="03138E13" w14:textId="77777777" w:rsidTr="00700E46">
        <w:tc>
          <w:tcPr>
            <w:tcW w:w="4508" w:type="dxa"/>
          </w:tcPr>
          <w:p w14:paraId="2A0AF627" w14:textId="77777777" w:rsidR="00660C0D" w:rsidRDefault="00660C0D" w:rsidP="00700E46">
            <w:r>
              <w:lastRenderedPageBreak/>
              <w:t>Moneylenders</w:t>
            </w:r>
          </w:p>
        </w:tc>
        <w:tc>
          <w:tcPr>
            <w:tcW w:w="4508" w:type="dxa"/>
          </w:tcPr>
          <w:p w14:paraId="57020200" w14:textId="4D5A5638" w:rsidR="00660C0D" w:rsidRDefault="00660C0D" w:rsidP="00700E46">
            <w:r>
              <w:t>Off-licences</w:t>
            </w:r>
          </w:p>
        </w:tc>
      </w:tr>
      <w:tr w:rsidR="00660C0D" w14:paraId="0FD92223" w14:textId="77777777" w:rsidTr="00700E46">
        <w:tc>
          <w:tcPr>
            <w:tcW w:w="4508" w:type="dxa"/>
          </w:tcPr>
          <w:p w14:paraId="203E2634" w14:textId="77777777" w:rsidR="00660C0D" w:rsidRDefault="00660C0D" w:rsidP="00700E46">
            <w:r>
              <w:t>Takeaways</w:t>
            </w:r>
          </w:p>
        </w:tc>
        <w:tc>
          <w:tcPr>
            <w:tcW w:w="4508" w:type="dxa"/>
          </w:tcPr>
          <w:p w14:paraId="09655777" w14:textId="1DAA8075" w:rsidR="00660C0D" w:rsidRDefault="00660C0D" w:rsidP="00700E46">
            <w:r>
              <w:t>Pop-up Shops</w:t>
            </w:r>
          </w:p>
        </w:tc>
      </w:tr>
      <w:tr w:rsidR="00660C0D" w14:paraId="6E3CC1E0" w14:textId="77777777" w:rsidTr="00700E46">
        <w:tc>
          <w:tcPr>
            <w:tcW w:w="4508" w:type="dxa"/>
          </w:tcPr>
          <w:p w14:paraId="17FF4B25" w14:textId="77777777" w:rsidR="00660C0D" w:rsidRDefault="00660C0D" w:rsidP="00700E46">
            <w:r>
              <w:t>End of lines/Closing down / Euro or Discount Stores</w:t>
            </w:r>
          </w:p>
        </w:tc>
        <w:tc>
          <w:tcPr>
            <w:tcW w:w="4508" w:type="dxa"/>
          </w:tcPr>
          <w:p w14:paraId="37F28749" w14:textId="66413C13" w:rsidR="00660C0D" w:rsidRDefault="00660C0D" w:rsidP="00700E46">
            <w:r>
              <w:t xml:space="preserve">Multiples and/or </w:t>
            </w:r>
            <w:r w:rsidRPr="00025014">
              <w:t>franchises</w:t>
            </w:r>
            <w:r>
              <w:t xml:space="preserve"> where the owner has &gt; 3 units</w:t>
            </w:r>
          </w:p>
        </w:tc>
      </w:tr>
    </w:tbl>
    <w:p w14:paraId="5CF98D52" w14:textId="3D074F92" w:rsidR="006E441C" w:rsidRDefault="006E441C"/>
    <w:p w14:paraId="4A7B42B2" w14:textId="385647D6" w:rsidR="001E5FA6" w:rsidRDefault="001E5FA6" w:rsidP="006E441C">
      <w:pPr>
        <w:rPr>
          <w:b/>
          <w:bCs/>
        </w:rPr>
      </w:pPr>
      <w:r w:rsidRPr="006E441C">
        <w:rPr>
          <w:b/>
          <w:bCs/>
        </w:rPr>
        <w:t>Grant Details:</w:t>
      </w:r>
    </w:p>
    <w:p w14:paraId="610EA9EB" w14:textId="31D97412" w:rsidR="006E441C" w:rsidRPr="006E441C" w:rsidRDefault="006E441C" w:rsidP="006E441C">
      <w:pPr>
        <w:rPr>
          <w:b/>
          <w:bCs/>
        </w:rPr>
      </w:pPr>
      <w:r>
        <w:t>A grant will be payable to successful applicants over a period of up to 3 years, based on the commercial rates payable for the premises, as follows:</w:t>
      </w:r>
    </w:p>
    <w:p w14:paraId="4679D0C3" w14:textId="77777777" w:rsidR="006E441C" w:rsidRPr="00A55203" w:rsidRDefault="006E441C" w:rsidP="006E441C">
      <w:pPr>
        <w:pStyle w:val="ListParagraph"/>
        <w:numPr>
          <w:ilvl w:val="0"/>
          <w:numId w:val="2"/>
        </w:numPr>
        <w:spacing w:after="0"/>
        <w:rPr>
          <w:b/>
          <w:bCs/>
        </w:rPr>
      </w:pPr>
      <w:r w:rsidRPr="00A55203">
        <w:rPr>
          <w:b/>
          <w:bCs/>
        </w:rPr>
        <w:t>End of Year 1</w:t>
      </w:r>
    </w:p>
    <w:p w14:paraId="4A4A9531" w14:textId="77777777" w:rsidR="006E441C" w:rsidRDefault="006E441C" w:rsidP="006E441C">
      <w:pPr>
        <w:spacing w:after="0"/>
        <w:ind w:left="720"/>
      </w:pPr>
      <w:r>
        <w:t>Grant payable equivalent to 75% of rates paid for the relevant year, subject to a maximum of €7,500 (</w:t>
      </w:r>
      <w:proofErr w:type="spellStart"/>
      <w:r>
        <w:t>ie</w:t>
      </w:r>
      <w:proofErr w:type="spellEnd"/>
      <w:r>
        <w:t xml:space="preserve"> 75% * €10,000)</w:t>
      </w:r>
    </w:p>
    <w:p w14:paraId="2A4A562A" w14:textId="77777777" w:rsidR="006E441C" w:rsidRPr="00A55203" w:rsidRDefault="006E441C" w:rsidP="006E441C">
      <w:pPr>
        <w:pStyle w:val="ListParagraph"/>
        <w:numPr>
          <w:ilvl w:val="0"/>
          <w:numId w:val="2"/>
        </w:numPr>
        <w:rPr>
          <w:b/>
          <w:bCs/>
        </w:rPr>
      </w:pPr>
      <w:r w:rsidRPr="00A55203">
        <w:rPr>
          <w:b/>
          <w:bCs/>
        </w:rPr>
        <w:t>End of Year 2</w:t>
      </w:r>
    </w:p>
    <w:p w14:paraId="00D8492D" w14:textId="77777777" w:rsidR="006E441C" w:rsidRDefault="006E441C" w:rsidP="006E441C">
      <w:pPr>
        <w:pStyle w:val="ListParagraph"/>
      </w:pPr>
      <w:r>
        <w:t>Grant payable equivalent to 50% of rates paid for the relevant year, subject to a maximum of €5,000 (</w:t>
      </w:r>
      <w:proofErr w:type="spellStart"/>
      <w:r>
        <w:t>ie</w:t>
      </w:r>
      <w:proofErr w:type="spellEnd"/>
      <w:r>
        <w:t xml:space="preserve"> 50% * €10,000)</w:t>
      </w:r>
    </w:p>
    <w:p w14:paraId="047BF481" w14:textId="77777777" w:rsidR="006E441C" w:rsidRPr="00A55203" w:rsidRDefault="006E441C" w:rsidP="006E441C">
      <w:pPr>
        <w:pStyle w:val="ListParagraph"/>
        <w:numPr>
          <w:ilvl w:val="0"/>
          <w:numId w:val="2"/>
        </w:numPr>
        <w:rPr>
          <w:b/>
          <w:bCs/>
        </w:rPr>
      </w:pPr>
      <w:r w:rsidRPr="00A55203">
        <w:rPr>
          <w:b/>
          <w:bCs/>
        </w:rPr>
        <w:t>End of Year 3</w:t>
      </w:r>
    </w:p>
    <w:p w14:paraId="225FB256" w14:textId="77777777" w:rsidR="006E441C" w:rsidRPr="00A55203" w:rsidRDefault="006E441C" w:rsidP="006E441C">
      <w:pPr>
        <w:pStyle w:val="ListParagraph"/>
      </w:pPr>
      <w:r>
        <w:t>Grant payable equivalent to 25% of rates paid for the relevant year, subject to a maximum of €2,500 (</w:t>
      </w:r>
      <w:proofErr w:type="spellStart"/>
      <w:r>
        <w:t>ie</w:t>
      </w:r>
      <w:proofErr w:type="spellEnd"/>
      <w:r>
        <w:t xml:space="preserve"> 25% * €10,000)</w:t>
      </w:r>
    </w:p>
    <w:p w14:paraId="2F1FFA30" w14:textId="19FC7516" w:rsidR="001E5FA6" w:rsidRDefault="001E5FA6" w:rsidP="001E5FA6">
      <w:bookmarkStart w:id="0" w:name="_Hlk61975095"/>
      <w:r>
        <w:t xml:space="preserve">The applicant may choose to </w:t>
      </w:r>
      <w:r w:rsidR="00A46AFF">
        <w:t xml:space="preserve">receive grant payments </w:t>
      </w:r>
      <w:r>
        <w:t>in the year they commence business, or in the following year</w:t>
      </w:r>
      <w:r w:rsidR="00A46AFF">
        <w:t>,</w:t>
      </w:r>
      <w:r>
        <w:t xml:space="preserve"> which would be the first full calendar year they are in business.</w:t>
      </w:r>
    </w:p>
    <w:p w14:paraId="1B57F418" w14:textId="2F3ED1EB" w:rsidR="001E5FA6" w:rsidRPr="001D4582" w:rsidRDefault="001E5FA6" w:rsidP="001E5FA6">
      <w:pPr>
        <w:rPr>
          <w:b/>
          <w:bCs/>
        </w:rPr>
      </w:pPr>
      <w:r w:rsidRPr="001D4582">
        <w:rPr>
          <w:b/>
          <w:bCs/>
        </w:rPr>
        <w:t>Example</w:t>
      </w:r>
      <w:r w:rsidR="00771C1C" w:rsidRPr="001D4582">
        <w:rPr>
          <w:b/>
          <w:bCs/>
        </w:rPr>
        <w:t>:</w:t>
      </w:r>
    </w:p>
    <w:p w14:paraId="243B7280" w14:textId="35216C8C" w:rsidR="00771C1C" w:rsidRDefault="001E5FA6" w:rsidP="001E5FA6">
      <w:r>
        <w:t>Business A commences trading from a previously vacant premises on the 1</w:t>
      </w:r>
      <w:r w:rsidRPr="001E5FA6">
        <w:rPr>
          <w:vertAlign w:val="superscript"/>
        </w:rPr>
        <w:t>st</w:t>
      </w:r>
      <w:r>
        <w:t xml:space="preserve"> Ju</w:t>
      </w:r>
      <w:r w:rsidR="006143E6">
        <w:t>ly</w:t>
      </w:r>
      <w:r>
        <w:t xml:space="preserve"> 202</w:t>
      </w:r>
      <w:r w:rsidR="00F90D16">
        <w:t>3</w:t>
      </w:r>
      <w:r w:rsidR="00FC5CB6">
        <w:t xml:space="preserve"> and qualifies for the grant</w:t>
      </w:r>
      <w:r w:rsidR="00771C1C">
        <w:t>. The full year rates liability on the premises is €4,000.</w:t>
      </w:r>
    </w:p>
    <w:p w14:paraId="778DA9D8" w14:textId="2A54FFB6" w:rsidR="001E5FA6" w:rsidRDefault="00771C1C" w:rsidP="001E5FA6">
      <w:r>
        <w:t xml:space="preserve">If Business A </w:t>
      </w:r>
      <w:r w:rsidR="00FC5CB6">
        <w:t>requests that the first grant payment is made in 202</w:t>
      </w:r>
      <w:r w:rsidR="00F90D16">
        <w:t>3</w:t>
      </w:r>
      <w:r w:rsidR="00FC5CB6">
        <w:t>,</w:t>
      </w:r>
      <w:r>
        <w:t xml:space="preserve"> the following grants apply over the three</w:t>
      </w:r>
      <w:r w:rsidR="0072562E">
        <w:t>-</w:t>
      </w:r>
      <w:r>
        <w:t>year period</w:t>
      </w:r>
      <w:r w:rsidR="001D4582">
        <w:t>:</w:t>
      </w:r>
    </w:p>
    <w:tbl>
      <w:tblPr>
        <w:tblStyle w:val="TableGrid"/>
        <w:tblW w:w="0" w:type="auto"/>
        <w:tblLook w:val="04A0" w:firstRow="1" w:lastRow="0" w:firstColumn="1" w:lastColumn="0" w:noHBand="0" w:noVBand="1"/>
      </w:tblPr>
      <w:tblGrid>
        <w:gridCol w:w="1555"/>
        <w:gridCol w:w="2818"/>
        <w:gridCol w:w="4553"/>
      </w:tblGrid>
      <w:tr w:rsidR="00771C1C" w:rsidRPr="00771C1C" w14:paraId="17291EC2" w14:textId="77777777" w:rsidTr="00771C1C">
        <w:tc>
          <w:tcPr>
            <w:tcW w:w="1555" w:type="dxa"/>
            <w:shd w:val="clear" w:color="auto" w:fill="D9D9D9" w:themeFill="background1" w:themeFillShade="D9"/>
          </w:tcPr>
          <w:p w14:paraId="104681B2" w14:textId="6E75FDFA" w:rsidR="00771C1C" w:rsidRPr="00771C1C" w:rsidRDefault="00771C1C" w:rsidP="00771C1C">
            <w:pPr>
              <w:jc w:val="center"/>
              <w:rPr>
                <w:b/>
                <w:bCs/>
              </w:rPr>
            </w:pPr>
            <w:r w:rsidRPr="00771C1C">
              <w:rPr>
                <w:b/>
                <w:bCs/>
              </w:rPr>
              <w:t>Grant Year</w:t>
            </w:r>
          </w:p>
        </w:tc>
        <w:tc>
          <w:tcPr>
            <w:tcW w:w="2818" w:type="dxa"/>
            <w:shd w:val="clear" w:color="auto" w:fill="D9D9D9" w:themeFill="background1" w:themeFillShade="D9"/>
          </w:tcPr>
          <w:p w14:paraId="7BEA332C" w14:textId="496F6EB7" w:rsidR="00771C1C" w:rsidRPr="00771C1C" w:rsidRDefault="00771C1C" w:rsidP="00771C1C">
            <w:pPr>
              <w:jc w:val="center"/>
              <w:rPr>
                <w:b/>
                <w:bCs/>
              </w:rPr>
            </w:pPr>
            <w:r w:rsidRPr="00771C1C">
              <w:rPr>
                <w:b/>
                <w:bCs/>
              </w:rPr>
              <w:t>Rates Paid</w:t>
            </w:r>
          </w:p>
        </w:tc>
        <w:tc>
          <w:tcPr>
            <w:tcW w:w="4553" w:type="dxa"/>
            <w:shd w:val="clear" w:color="auto" w:fill="D9D9D9" w:themeFill="background1" w:themeFillShade="D9"/>
          </w:tcPr>
          <w:p w14:paraId="62BA10F3" w14:textId="42A66C44" w:rsidR="00771C1C" w:rsidRPr="00771C1C" w:rsidRDefault="00771C1C" w:rsidP="00771C1C">
            <w:pPr>
              <w:jc w:val="center"/>
              <w:rPr>
                <w:b/>
                <w:bCs/>
              </w:rPr>
            </w:pPr>
            <w:r w:rsidRPr="00771C1C">
              <w:rPr>
                <w:b/>
                <w:bCs/>
              </w:rPr>
              <w:t>Grant Payable</w:t>
            </w:r>
          </w:p>
        </w:tc>
      </w:tr>
      <w:tr w:rsidR="00771C1C" w14:paraId="4413DAEF" w14:textId="77777777" w:rsidTr="00771C1C">
        <w:tc>
          <w:tcPr>
            <w:tcW w:w="1555" w:type="dxa"/>
          </w:tcPr>
          <w:p w14:paraId="1DADADC1" w14:textId="29613991" w:rsidR="00771C1C" w:rsidRDefault="00771C1C" w:rsidP="001E5FA6">
            <w:r>
              <w:t>202</w:t>
            </w:r>
            <w:r w:rsidR="00F90D16">
              <w:t>3</w:t>
            </w:r>
          </w:p>
        </w:tc>
        <w:tc>
          <w:tcPr>
            <w:tcW w:w="2818" w:type="dxa"/>
          </w:tcPr>
          <w:p w14:paraId="4363D455" w14:textId="487B9FFF" w:rsidR="00771C1C" w:rsidRDefault="00771C1C" w:rsidP="001E5FA6">
            <w:r>
              <w:t>€2,000 (Ju</w:t>
            </w:r>
            <w:r w:rsidR="006143E6">
              <w:t>ly</w:t>
            </w:r>
            <w:r>
              <w:t xml:space="preserve"> – December)</w:t>
            </w:r>
          </w:p>
        </w:tc>
        <w:tc>
          <w:tcPr>
            <w:tcW w:w="4553" w:type="dxa"/>
          </w:tcPr>
          <w:p w14:paraId="2AEF942A" w14:textId="417E7651" w:rsidR="00771C1C" w:rsidRDefault="00771C1C" w:rsidP="001E5FA6">
            <w:r>
              <w:t>€1,500 (75% of rates paid for year)</w:t>
            </w:r>
          </w:p>
        </w:tc>
      </w:tr>
      <w:tr w:rsidR="00771C1C" w14:paraId="2A005F73" w14:textId="77777777" w:rsidTr="00771C1C">
        <w:tc>
          <w:tcPr>
            <w:tcW w:w="1555" w:type="dxa"/>
          </w:tcPr>
          <w:p w14:paraId="70D2E43F" w14:textId="6415FE7E" w:rsidR="00771C1C" w:rsidRDefault="00771C1C" w:rsidP="001E5FA6">
            <w:r>
              <w:t>202</w:t>
            </w:r>
            <w:r w:rsidR="00F90D16">
              <w:t>4</w:t>
            </w:r>
          </w:p>
        </w:tc>
        <w:tc>
          <w:tcPr>
            <w:tcW w:w="2818" w:type="dxa"/>
          </w:tcPr>
          <w:p w14:paraId="0AD973C9" w14:textId="67B0274E" w:rsidR="00771C1C" w:rsidRDefault="00771C1C" w:rsidP="001E5FA6">
            <w:r>
              <w:t>€4,000 (full year)</w:t>
            </w:r>
          </w:p>
        </w:tc>
        <w:tc>
          <w:tcPr>
            <w:tcW w:w="4553" w:type="dxa"/>
          </w:tcPr>
          <w:p w14:paraId="658B3F18" w14:textId="115B999C" w:rsidR="00771C1C" w:rsidRDefault="00771C1C" w:rsidP="001E5FA6">
            <w:r>
              <w:t>€2,000 (50% of rates paid for year)</w:t>
            </w:r>
          </w:p>
        </w:tc>
      </w:tr>
      <w:tr w:rsidR="00771C1C" w14:paraId="14F01AC5" w14:textId="77777777" w:rsidTr="00771C1C">
        <w:tc>
          <w:tcPr>
            <w:tcW w:w="1555" w:type="dxa"/>
          </w:tcPr>
          <w:p w14:paraId="48C2EE32" w14:textId="04481B63" w:rsidR="00771C1C" w:rsidRDefault="00771C1C" w:rsidP="001E5FA6">
            <w:r>
              <w:t>202</w:t>
            </w:r>
            <w:r w:rsidR="00F90D16">
              <w:t>5</w:t>
            </w:r>
          </w:p>
        </w:tc>
        <w:tc>
          <w:tcPr>
            <w:tcW w:w="2818" w:type="dxa"/>
          </w:tcPr>
          <w:p w14:paraId="32A455FB" w14:textId="27682CA1" w:rsidR="00771C1C" w:rsidRDefault="00771C1C" w:rsidP="001E5FA6">
            <w:r>
              <w:t>€4,000 (full year)</w:t>
            </w:r>
          </w:p>
        </w:tc>
        <w:tc>
          <w:tcPr>
            <w:tcW w:w="4553" w:type="dxa"/>
          </w:tcPr>
          <w:p w14:paraId="7938D92A" w14:textId="2117FBA3" w:rsidR="00771C1C" w:rsidRDefault="00771C1C" w:rsidP="001E5FA6">
            <w:r>
              <w:t>€1,000 (25% of rates paid for year)</w:t>
            </w:r>
          </w:p>
        </w:tc>
      </w:tr>
    </w:tbl>
    <w:p w14:paraId="3E15EC25" w14:textId="2AF5F3FE" w:rsidR="001E5FA6" w:rsidRDefault="001E5FA6" w:rsidP="001E5FA6"/>
    <w:p w14:paraId="351A53F6" w14:textId="455D371D" w:rsidR="00771C1C" w:rsidRDefault="00771C1C" w:rsidP="00771C1C">
      <w:r>
        <w:t xml:space="preserve">If Business A </w:t>
      </w:r>
      <w:r w:rsidR="00FC5CB6">
        <w:t>requests that the first grant payment is made in 202</w:t>
      </w:r>
      <w:r w:rsidR="00F90D16">
        <w:t>4</w:t>
      </w:r>
      <w:r w:rsidR="00FC5CB6">
        <w:t>, t</w:t>
      </w:r>
      <w:r>
        <w:t>he following grants apply over the three</w:t>
      </w:r>
      <w:r w:rsidR="0072562E">
        <w:t>-</w:t>
      </w:r>
      <w:r>
        <w:t>year period</w:t>
      </w:r>
      <w:r w:rsidR="001D4582">
        <w:t>:</w:t>
      </w:r>
    </w:p>
    <w:tbl>
      <w:tblPr>
        <w:tblStyle w:val="TableGrid"/>
        <w:tblW w:w="0" w:type="auto"/>
        <w:tblLook w:val="04A0" w:firstRow="1" w:lastRow="0" w:firstColumn="1" w:lastColumn="0" w:noHBand="0" w:noVBand="1"/>
      </w:tblPr>
      <w:tblGrid>
        <w:gridCol w:w="1555"/>
        <w:gridCol w:w="2818"/>
        <w:gridCol w:w="4553"/>
      </w:tblGrid>
      <w:tr w:rsidR="001D4582" w:rsidRPr="00771C1C" w14:paraId="5360C172" w14:textId="77777777" w:rsidTr="00700E46">
        <w:tc>
          <w:tcPr>
            <w:tcW w:w="1555" w:type="dxa"/>
            <w:shd w:val="clear" w:color="auto" w:fill="D9D9D9" w:themeFill="background1" w:themeFillShade="D9"/>
          </w:tcPr>
          <w:p w14:paraId="2CBBAAAB" w14:textId="77777777" w:rsidR="001D4582" w:rsidRPr="00771C1C" w:rsidRDefault="001D4582" w:rsidP="00700E46">
            <w:pPr>
              <w:jc w:val="center"/>
              <w:rPr>
                <w:b/>
                <w:bCs/>
              </w:rPr>
            </w:pPr>
            <w:r w:rsidRPr="00771C1C">
              <w:rPr>
                <w:b/>
                <w:bCs/>
              </w:rPr>
              <w:t>Grant Year</w:t>
            </w:r>
          </w:p>
        </w:tc>
        <w:tc>
          <w:tcPr>
            <w:tcW w:w="2818" w:type="dxa"/>
            <w:shd w:val="clear" w:color="auto" w:fill="D9D9D9" w:themeFill="background1" w:themeFillShade="D9"/>
          </w:tcPr>
          <w:p w14:paraId="368F1EE4" w14:textId="77777777" w:rsidR="001D4582" w:rsidRPr="00771C1C" w:rsidRDefault="001D4582" w:rsidP="00700E46">
            <w:pPr>
              <w:jc w:val="center"/>
              <w:rPr>
                <w:b/>
                <w:bCs/>
              </w:rPr>
            </w:pPr>
            <w:r w:rsidRPr="00771C1C">
              <w:rPr>
                <w:b/>
                <w:bCs/>
              </w:rPr>
              <w:t>Rates Paid</w:t>
            </w:r>
          </w:p>
        </w:tc>
        <w:tc>
          <w:tcPr>
            <w:tcW w:w="4553" w:type="dxa"/>
            <w:shd w:val="clear" w:color="auto" w:fill="D9D9D9" w:themeFill="background1" w:themeFillShade="D9"/>
          </w:tcPr>
          <w:p w14:paraId="2BA0D038" w14:textId="77777777" w:rsidR="001D4582" w:rsidRPr="00771C1C" w:rsidRDefault="001D4582" w:rsidP="00700E46">
            <w:pPr>
              <w:jc w:val="center"/>
              <w:rPr>
                <w:b/>
                <w:bCs/>
              </w:rPr>
            </w:pPr>
            <w:r w:rsidRPr="00771C1C">
              <w:rPr>
                <w:b/>
                <w:bCs/>
              </w:rPr>
              <w:t>Grant Payable</w:t>
            </w:r>
          </w:p>
        </w:tc>
      </w:tr>
      <w:tr w:rsidR="001D4582" w14:paraId="03E28758" w14:textId="77777777" w:rsidTr="00700E46">
        <w:tc>
          <w:tcPr>
            <w:tcW w:w="1555" w:type="dxa"/>
          </w:tcPr>
          <w:p w14:paraId="41EA08BB" w14:textId="4FE79E28" w:rsidR="001D4582" w:rsidRDefault="001D4582" w:rsidP="00700E46">
            <w:r>
              <w:t>202</w:t>
            </w:r>
            <w:r w:rsidR="00F90D16">
              <w:t>4</w:t>
            </w:r>
          </w:p>
        </w:tc>
        <w:tc>
          <w:tcPr>
            <w:tcW w:w="2818" w:type="dxa"/>
          </w:tcPr>
          <w:p w14:paraId="4A5DD15D" w14:textId="615A99DD" w:rsidR="001D4582" w:rsidRDefault="001D4582" w:rsidP="00700E46">
            <w:r>
              <w:t>€4,000 (full year)</w:t>
            </w:r>
          </w:p>
        </w:tc>
        <w:tc>
          <w:tcPr>
            <w:tcW w:w="4553" w:type="dxa"/>
          </w:tcPr>
          <w:p w14:paraId="0C35B80D" w14:textId="7A11F1DE" w:rsidR="001D4582" w:rsidRDefault="001D4582" w:rsidP="00700E46">
            <w:r>
              <w:t>€3,000 (75% of rates paid for year)</w:t>
            </w:r>
          </w:p>
        </w:tc>
      </w:tr>
      <w:tr w:rsidR="001D4582" w14:paraId="3D8A7E5A" w14:textId="77777777" w:rsidTr="00700E46">
        <w:tc>
          <w:tcPr>
            <w:tcW w:w="1555" w:type="dxa"/>
          </w:tcPr>
          <w:p w14:paraId="246EEC6C" w14:textId="5CB2669A" w:rsidR="001D4582" w:rsidRDefault="001D4582" w:rsidP="00700E46">
            <w:r>
              <w:t>202</w:t>
            </w:r>
            <w:r w:rsidR="00F90D16">
              <w:t>5</w:t>
            </w:r>
          </w:p>
        </w:tc>
        <w:tc>
          <w:tcPr>
            <w:tcW w:w="2818" w:type="dxa"/>
          </w:tcPr>
          <w:p w14:paraId="4E70C094" w14:textId="77777777" w:rsidR="001D4582" w:rsidRDefault="001D4582" w:rsidP="00700E46">
            <w:r>
              <w:t>€4,000 (full year)</w:t>
            </w:r>
          </w:p>
        </w:tc>
        <w:tc>
          <w:tcPr>
            <w:tcW w:w="4553" w:type="dxa"/>
          </w:tcPr>
          <w:p w14:paraId="5698C355" w14:textId="77777777" w:rsidR="001D4582" w:rsidRDefault="001D4582" w:rsidP="00700E46">
            <w:r>
              <w:t>€2,000 (50% of rates paid for year)</w:t>
            </w:r>
          </w:p>
        </w:tc>
      </w:tr>
      <w:tr w:rsidR="001D4582" w14:paraId="22F7ADFC" w14:textId="77777777" w:rsidTr="00700E46">
        <w:tc>
          <w:tcPr>
            <w:tcW w:w="1555" w:type="dxa"/>
          </w:tcPr>
          <w:p w14:paraId="051E20CF" w14:textId="67D990BE" w:rsidR="001D4582" w:rsidRDefault="001D4582" w:rsidP="00700E46">
            <w:r>
              <w:t>202</w:t>
            </w:r>
            <w:r w:rsidR="00F90D16">
              <w:t>6</w:t>
            </w:r>
          </w:p>
        </w:tc>
        <w:tc>
          <w:tcPr>
            <w:tcW w:w="2818" w:type="dxa"/>
          </w:tcPr>
          <w:p w14:paraId="6FDD5E11" w14:textId="77777777" w:rsidR="001D4582" w:rsidRDefault="001D4582" w:rsidP="00700E46">
            <w:r>
              <w:t>€4,000 (full year)</w:t>
            </w:r>
          </w:p>
        </w:tc>
        <w:tc>
          <w:tcPr>
            <w:tcW w:w="4553" w:type="dxa"/>
          </w:tcPr>
          <w:p w14:paraId="1A6EAD36" w14:textId="77777777" w:rsidR="001D4582" w:rsidRDefault="001D4582" w:rsidP="00700E46">
            <w:r>
              <w:t>€1,000 (25% of rates paid for year)</w:t>
            </w:r>
          </w:p>
        </w:tc>
      </w:tr>
    </w:tbl>
    <w:p w14:paraId="79AAB871" w14:textId="2C80053B" w:rsidR="001E5FA6" w:rsidRDefault="001E5FA6" w:rsidP="001E5FA6"/>
    <w:p w14:paraId="46558652" w14:textId="7178EB8F" w:rsidR="00A46AFF" w:rsidRDefault="00A46AFF" w:rsidP="001E5FA6">
      <w:r>
        <w:t>Grant payments will be made in the fourth quarter of each applicable year</w:t>
      </w:r>
      <w:r w:rsidR="00CE0A0B">
        <w:t>.</w:t>
      </w:r>
    </w:p>
    <w:p w14:paraId="68D39A0D" w14:textId="3E48C6C2" w:rsidR="00A46AFF" w:rsidRPr="00A46AFF" w:rsidRDefault="00A46AFF" w:rsidP="001E5FA6">
      <w:pPr>
        <w:rPr>
          <w:b/>
          <w:bCs/>
        </w:rPr>
      </w:pPr>
      <w:r w:rsidRPr="00A46AFF">
        <w:rPr>
          <w:b/>
          <w:bCs/>
        </w:rPr>
        <w:t>Application Process</w:t>
      </w:r>
    </w:p>
    <w:p w14:paraId="08FDCF9B" w14:textId="37F58A05" w:rsidR="00A46AFF" w:rsidRDefault="00A46AFF" w:rsidP="001E5FA6">
      <w:r>
        <w:t>Applications will only be accepted through ou</w:t>
      </w:r>
      <w:r w:rsidR="00FC5CB6">
        <w:t>r</w:t>
      </w:r>
      <w:r>
        <w:t xml:space="preserve"> online portal</w:t>
      </w:r>
      <w:r w:rsidR="0072562E">
        <w:t>.</w:t>
      </w:r>
    </w:p>
    <w:p w14:paraId="4F210A56" w14:textId="55B0EC08" w:rsidR="00A46AFF" w:rsidRPr="00A46AFF" w:rsidRDefault="00A46AFF" w:rsidP="001E5FA6">
      <w:pPr>
        <w:rPr>
          <w:b/>
          <w:bCs/>
        </w:rPr>
      </w:pPr>
      <w:r w:rsidRPr="00A46AFF">
        <w:rPr>
          <w:b/>
          <w:bCs/>
        </w:rPr>
        <w:t>Further Information</w:t>
      </w:r>
    </w:p>
    <w:p w14:paraId="342F82C6" w14:textId="0EF88E28" w:rsidR="00A46AFF" w:rsidRDefault="00A46AFF" w:rsidP="001E5FA6">
      <w:r>
        <w:t xml:space="preserve">Please contact </w:t>
      </w:r>
      <w:hyperlink r:id="rId5" w:history="1">
        <w:r w:rsidR="0072562E" w:rsidRPr="00CF2536">
          <w:rPr>
            <w:rStyle w:val="Hyperlink"/>
          </w:rPr>
          <w:t>rates@kildarecoco.ie</w:t>
        </w:r>
      </w:hyperlink>
      <w:r w:rsidR="0072562E">
        <w:t xml:space="preserve"> or 045 </w:t>
      </w:r>
      <w:r w:rsidR="00D25DF5">
        <w:t>980656</w:t>
      </w:r>
    </w:p>
    <w:bookmarkEnd w:id="0"/>
    <w:sectPr w:rsidR="00A46AFF" w:rsidSect="00D9693F">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4D3"/>
    <w:multiLevelType w:val="hybridMultilevel"/>
    <w:tmpl w:val="6EDEC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1C3F74"/>
    <w:multiLevelType w:val="multilevel"/>
    <w:tmpl w:val="199E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54C66"/>
    <w:multiLevelType w:val="multilevel"/>
    <w:tmpl w:val="7004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E18F8"/>
    <w:multiLevelType w:val="hybridMultilevel"/>
    <w:tmpl w:val="4F363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47042250">
    <w:abstractNumId w:val="0"/>
  </w:num>
  <w:num w:numId="2" w16cid:durableId="223954005">
    <w:abstractNumId w:val="3"/>
  </w:num>
  <w:num w:numId="3" w16cid:durableId="1028750117">
    <w:abstractNumId w:val="2"/>
  </w:num>
  <w:num w:numId="4" w16cid:durableId="464473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3C"/>
    <w:rsid w:val="00020B42"/>
    <w:rsid w:val="0003460D"/>
    <w:rsid w:val="00036044"/>
    <w:rsid w:val="000A139F"/>
    <w:rsid w:val="00142B3C"/>
    <w:rsid w:val="001D4582"/>
    <w:rsid w:val="001E1EAB"/>
    <w:rsid w:val="001E5FA6"/>
    <w:rsid w:val="00207693"/>
    <w:rsid w:val="0037501B"/>
    <w:rsid w:val="003D1B38"/>
    <w:rsid w:val="00461A3A"/>
    <w:rsid w:val="004645B8"/>
    <w:rsid w:val="005D6743"/>
    <w:rsid w:val="006143E6"/>
    <w:rsid w:val="00627101"/>
    <w:rsid w:val="00654302"/>
    <w:rsid w:val="00660C0D"/>
    <w:rsid w:val="006D3E15"/>
    <w:rsid w:val="006E441C"/>
    <w:rsid w:val="0072562E"/>
    <w:rsid w:val="00771C1C"/>
    <w:rsid w:val="00873609"/>
    <w:rsid w:val="009A2DFC"/>
    <w:rsid w:val="00A46AFF"/>
    <w:rsid w:val="00CE0A0B"/>
    <w:rsid w:val="00D25DF5"/>
    <w:rsid w:val="00D9693F"/>
    <w:rsid w:val="00F4140A"/>
    <w:rsid w:val="00F90D16"/>
    <w:rsid w:val="00FC154F"/>
    <w:rsid w:val="00FC5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C824"/>
  <w15:chartTrackingRefBased/>
  <w15:docId w15:val="{6AF997DF-058F-4BB3-BEB0-1A28F44A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E5F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B3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142B3C"/>
    <w:rPr>
      <w:b/>
      <w:bCs/>
    </w:rPr>
  </w:style>
  <w:style w:type="paragraph" w:styleId="ListParagraph">
    <w:name w:val="List Paragraph"/>
    <w:basedOn w:val="Normal"/>
    <w:uiPriority w:val="34"/>
    <w:qFormat/>
    <w:rsid w:val="00142B3C"/>
    <w:pPr>
      <w:spacing w:after="200" w:line="276" w:lineRule="auto"/>
      <w:ind w:left="720"/>
      <w:contextualSpacing/>
    </w:pPr>
  </w:style>
  <w:style w:type="table" w:styleId="TableGrid">
    <w:name w:val="Table Grid"/>
    <w:basedOn w:val="TableNormal"/>
    <w:uiPriority w:val="59"/>
    <w:rsid w:val="00660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E5FA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E0A0B"/>
    <w:rPr>
      <w:color w:val="0563C1" w:themeColor="hyperlink"/>
      <w:u w:val="single"/>
    </w:rPr>
  </w:style>
  <w:style w:type="character" w:styleId="UnresolvedMention">
    <w:name w:val="Unresolved Mention"/>
    <w:basedOn w:val="DefaultParagraphFont"/>
    <w:uiPriority w:val="99"/>
    <w:semiHidden/>
    <w:unhideWhenUsed/>
    <w:rsid w:val="00CE0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744647">
      <w:bodyDiv w:val="1"/>
      <w:marLeft w:val="0"/>
      <w:marRight w:val="0"/>
      <w:marTop w:val="0"/>
      <w:marBottom w:val="0"/>
      <w:divBdr>
        <w:top w:val="none" w:sz="0" w:space="0" w:color="auto"/>
        <w:left w:val="none" w:sz="0" w:space="0" w:color="auto"/>
        <w:bottom w:val="none" w:sz="0" w:space="0" w:color="auto"/>
        <w:right w:val="none" w:sz="0" w:space="0" w:color="auto"/>
      </w:divBdr>
    </w:div>
    <w:div w:id="17174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tes@kildare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Catherine Ryan</cp:lastModifiedBy>
  <cp:revision>6</cp:revision>
  <dcterms:created xsi:type="dcterms:W3CDTF">2023-03-09T14:05:00Z</dcterms:created>
  <dcterms:modified xsi:type="dcterms:W3CDTF">2023-03-22T15:33:00Z</dcterms:modified>
</cp:coreProperties>
</file>